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5570B10" w14:paraId="0A2B7F17" wp14:textId="150FF147">
      <w:pPr>
        <w:pStyle w:val="Title"/>
        <w:jc w:val="center"/>
        <w:rPr>
          <w:rFonts w:ascii="Arial" w:hAnsi="Arial" w:eastAsia="Arial" w:cs="Arial"/>
          <w:color w:val="auto"/>
          <w:sz w:val="44"/>
          <w:szCs w:val="44"/>
        </w:rPr>
      </w:pP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>Critères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 xml:space="preserve"> 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>d’évaluation</w:t>
      </w:r>
    </w:p>
    <w:p xmlns:wp14="http://schemas.microsoft.com/office/word/2010/wordml" w:rsidP="15570B10" w14:paraId="7DA067F3" wp14:textId="51D6BF66">
      <w:pPr>
        <w:pStyle w:val="Title"/>
        <w:jc w:val="center"/>
        <w:rPr>
          <w:rFonts w:ascii="Arial" w:hAnsi="Arial" w:eastAsia="Arial" w:cs="Arial"/>
          <w:color w:val="auto"/>
          <w:sz w:val="44"/>
          <w:szCs w:val="44"/>
        </w:rPr>
      </w:pP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>Séquence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 xml:space="preserve"> 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>Mémoire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 xml:space="preserve"> </w:t>
      </w:r>
      <w:r w:rsidRPr="15570B10" w:rsidR="15570B10">
        <w:rPr>
          <w:rFonts w:ascii="Arial" w:hAnsi="Arial" w:eastAsia="Arial" w:cs="Arial"/>
          <w:color w:val="auto"/>
          <w:sz w:val="44"/>
          <w:szCs w:val="44"/>
        </w:rPr>
        <w:t>d’objet</w:t>
      </w:r>
    </w:p>
    <w:p xmlns:wp14="http://schemas.microsoft.com/office/word/2010/wordml" w:rsidP="15570B10" w14:paraId="767C17EB" wp14:textId="65AD7993">
      <w:pPr>
        <w:rPr>
          <w:rFonts w:ascii="Arial" w:hAnsi="Arial" w:eastAsia="Arial" w:cs="Arial"/>
          <w:color w:val="auto"/>
        </w:rPr>
      </w:pPr>
      <w:r w:rsidRPr="15570B10" w:rsidR="15570B10">
        <w:rPr>
          <w:rFonts w:ascii="Arial" w:hAnsi="Arial" w:eastAsia="Arial" w:cs="Arial"/>
          <w:color w:val="auto"/>
        </w:rPr>
        <w:t xml:space="preserve">Cette grille </w:t>
      </w:r>
      <w:r w:rsidRPr="15570B10" w:rsidR="15570B10">
        <w:rPr>
          <w:rFonts w:ascii="Arial" w:hAnsi="Arial" w:eastAsia="Arial" w:cs="Arial"/>
          <w:color w:val="auto"/>
        </w:rPr>
        <w:t>permet</w:t>
      </w:r>
      <w:r w:rsidRPr="15570B10" w:rsidR="15570B10">
        <w:rPr>
          <w:rFonts w:ascii="Arial" w:hAnsi="Arial" w:eastAsia="Arial" w:cs="Arial"/>
          <w:color w:val="auto"/>
        </w:rPr>
        <w:t xml:space="preserve"> de </w:t>
      </w:r>
      <w:r w:rsidRPr="15570B10" w:rsidR="15570B10">
        <w:rPr>
          <w:rFonts w:ascii="Arial" w:hAnsi="Arial" w:eastAsia="Arial" w:cs="Arial"/>
          <w:color w:val="auto"/>
        </w:rPr>
        <w:t>situer</w:t>
      </w:r>
      <w:r w:rsidRPr="15570B10" w:rsidR="15570B10">
        <w:rPr>
          <w:rFonts w:ascii="Arial" w:hAnsi="Arial" w:eastAsia="Arial" w:cs="Arial"/>
          <w:color w:val="auto"/>
        </w:rPr>
        <w:t xml:space="preserve"> </w:t>
      </w:r>
      <w:r w:rsidRPr="15570B10" w:rsidR="15570B10">
        <w:rPr>
          <w:rFonts w:ascii="Arial" w:hAnsi="Arial" w:eastAsia="Arial" w:cs="Arial"/>
          <w:color w:val="auto"/>
        </w:rPr>
        <w:t>l’élève</w:t>
      </w:r>
      <w:r w:rsidRPr="15570B10" w:rsidR="15570B10">
        <w:rPr>
          <w:rFonts w:ascii="Arial" w:hAnsi="Arial" w:eastAsia="Arial" w:cs="Arial"/>
          <w:color w:val="auto"/>
        </w:rPr>
        <w:t xml:space="preserve"> dans </w:t>
      </w:r>
      <w:r w:rsidRPr="15570B10" w:rsidR="15570B10">
        <w:rPr>
          <w:rFonts w:ascii="Arial" w:hAnsi="Arial" w:eastAsia="Arial" w:cs="Arial"/>
          <w:color w:val="auto"/>
        </w:rPr>
        <w:t>sa</w:t>
      </w:r>
      <w:r w:rsidRPr="15570B10" w:rsidR="15570B10">
        <w:rPr>
          <w:rFonts w:ascii="Arial" w:hAnsi="Arial" w:eastAsia="Arial" w:cs="Arial"/>
          <w:color w:val="auto"/>
        </w:rPr>
        <w:t xml:space="preserve"> progression </w:t>
      </w:r>
      <w:r w:rsidRPr="15570B10" w:rsidR="15570B10">
        <w:rPr>
          <w:rFonts w:ascii="Arial" w:hAnsi="Arial" w:eastAsia="Arial" w:cs="Arial"/>
          <w:color w:val="auto"/>
        </w:rPr>
        <w:t>selon</w:t>
      </w:r>
      <w:r w:rsidRPr="15570B10" w:rsidR="15570B10">
        <w:rPr>
          <w:rFonts w:ascii="Arial" w:hAnsi="Arial" w:eastAsia="Arial" w:cs="Arial"/>
          <w:color w:val="auto"/>
        </w:rPr>
        <w:t xml:space="preserve"> les </w:t>
      </w:r>
      <w:r w:rsidRPr="15570B10" w:rsidR="15570B10">
        <w:rPr>
          <w:rFonts w:ascii="Arial" w:hAnsi="Arial" w:eastAsia="Arial" w:cs="Arial"/>
          <w:color w:val="auto"/>
        </w:rPr>
        <w:t>pôles</w:t>
      </w:r>
      <w:r w:rsidRPr="15570B10" w:rsidR="15570B10">
        <w:rPr>
          <w:rFonts w:ascii="Arial" w:hAnsi="Arial" w:eastAsia="Arial" w:cs="Arial"/>
          <w:color w:val="auto"/>
        </w:rPr>
        <w:t xml:space="preserve"> et </w:t>
      </w:r>
      <w:r w:rsidRPr="15570B10" w:rsidR="15570B10">
        <w:rPr>
          <w:rFonts w:ascii="Arial" w:hAnsi="Arial" w:eastAsia="Arial" w:cs="Arial"/>
          <w:color w:val="auto"/>
        </w:rPr>
        <w:t>compétences</w:t>
      </w:r>
      <w:r w:rsidRPr="15570B10" w:rsidR="15570B10">
        <w:rPr>
          <w:rFonts w:ascii="Arial" w:hAnsi="Arial" w:eastAsia="Arial" w:cs="Arial"/>
          <w:color w:val="auto"/>
        </w:rPr>
        <w:t xml:space="preserve"> </w:t>
      </w:r>
      <w:r w:rsidRPr="15570B10" w:rsidR="15570B10">
        <w:rPr>
          <w:rFonts w:ascii="Arial" w:hAnsi="Arial" w:eastAsia="Arial" w:cs="Arial"/>
          <w:color w:val="auto"/>
        </w:rPr>
        <w:t>mobilisés</w:t>
      </w:r>
      <w:r w:rsidRPr="15570B10" w:rsidR="15570B10">
        <w:rPr>
          <w:rFonts w:ascii="Arial" w:hAnsi="Arial" w:eastAsia="Arial" w:cs="Arial"/>
          <w:color w:val="auto"/>
        </w:rPr>
        <w:t>.</w:t>
      </w: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2880"/>
        <w:gridCol w:w="3150"/>
        <w:gridCol w:w="3440"/>
      </w:tblGrid>
      <w:tr xmlns:wp14="http://schemas.microsoft.com/office/word/2010/wordml" w:rsidTr="15570B10" w14:paraId="020A05C7" wp14:textId="77777777">
        <w:trPr>
          <w:trHeight w:val="750"/>
        </w:trPr>
        <w:tc>
          <w:tcPr>
            <w:tcW w:w="2880" w:type="dxa"/>
            <w:shd w:val="clear" w:color="auto" w:fill="DAE8F8"/>
            <w:tcMar/>
            <w:vAlign w:val="center"/>
          </w:tcPr>
          <w:p w:rsidP="15570B10" w14:paraId="51DC6E3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Pôle</w:t>
            </w:r>
          </w:p>
        </w:tc>
        <w:tc>
          <w:tcPr>
            <w:tcW w:w="3150" w:type="dxa"/>
            <w:shd w:val="clear" w:color="auto" w:fill="DAE8F8"/>
            <w:tcMar/>
            <w:vAlign w:val="center"/>
          </w:tcPr>
          <w:p w:rsidP="15570B10" w14:paraId="1A5520BC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Compétence</w:t>
            </w: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mobilisée</w:t>
            </w:r>
          </w:p>
        </w:tc>
        <w:tc>
          <w:tcPr>
            <w:tcW w:w="3440" w:type="dxa"/>
            <w:shd w:val="clear" w:color="auto" w:fill="DAE8F8"/>
            <w:tcMar/>
            <w:vAlign w:val="center"/>
          </w:tcPr>
          <w:p w:rsidP="15570B10" w14:paraId="12B579E9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d’évaluation</w:t>
            </w:r>
          </w:p>
        </w:tc>
      </w:tr>
      <w:tr xmlns:wp14="http://schemas.microsoft.com/office/word/2010/wordml" w:rsidTr="15570B10" w14:paraId="7D331A1F" wp14:textId="77777777">
        <w:trPr>
          <w:trHeight w:val="1095"/>
        </w:trPr>
        <w:tc>
          <w:tcPr>
            <w:tcW w:w="2880" w:type="dxa"/>
            <w:vMerge w:val="restart"/>
            <w:tcMar/>
            <w:vAlign w:val="center"/>
          </w:tcPr>
          <w:p w:rsidP="15570B10" w14:paraId="2FF0BE90" wp14:textId="77777777" wp14:noSpellErr="1">
            <w:pPr>
              <w:jc w:val="center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S’approprier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une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démarche de conception</w:t>
            </w:r>
          </w:p>
        </w:tc>
        <w:tc>
          <w:tcPr>
            <w:tcW w:w="3150" w:type="dxa"/>
            <w:tcMar/>
            <w:vAlign w:val="center"/>
          </w:tcPr>
          <w:p w:rsidP="15570B10" w14:paraId="063645A4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CE.2 – Proposer des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pistes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 recherche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variées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cohérentes</w:t>
            </w:r>
          </w:p>
        </w:tc>
        <w:tc>
          <w:tcPr>
            <w:tcW w:w="3440" w:type="dxa"/>
            <w:tcMar/>
            <w:vAlign w:val="center"/>
          </w:tcPr>
          <w:p w:rsidP="15570B10" w14:paraId="6014938E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Proposer des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objets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des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lieux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en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lien avec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une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mémoire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singulière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ou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collective.</w:t>
            </w:r>
          </w:p>
        </w:tc>
      </w:tr>
      <w:tr xmlns:wp14="http://schemas.microsoft.com/office/word/2010/wordml" w:rsidTr="15570B10" w14:paraId="30DF85D6" wp14:textId="77777777">
        <w:trPr>
          <w:trHeight w:val="1320"/>
        </w:trPr>
        <w:tc>
          <w:tcPr>
            <w:tcW w:w="2880" w:type="dxa"/>
            <w:vMerge/>
            <w:tcMar/>
          </w:tcPr>
          <w:p w14:paraId="1217BE7C" wp14:textId="77777777">
            <w:r>
              <w:t>S’approprier une démarche de conception</w:t>
            </w:r>
          </w:p>
        </w:tc>
        <w:tc>
          <w:tcPr>
            <w:tcW w:w="3150" w:type="dxa"/>
            <w:tcMar/>
            <w:vAlign w:val="center"/>
          </w:tcPr>
          <w:p w:rsidP="15570B10" w14:paraId="74FFC293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CE.3 – Exploiter des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références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à des fins de conception</w:t>
            </w:r>
          </w:p>
        </w:tc>
        <w:tc>
          <w:tcPr>
            <w:tcW w:w="3440" w:type="dxa"/>
            <w:tcMar/>
            <w:vAlign w:val="center"/>
          </w:tcPr>
          <w:p w:rsidP="15570B10" w14:paraId="3827C8E9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S’inspirer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récits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témoignages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archives pour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enrichir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la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réflexion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scénographique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.</w:t>
            </w:r>
          </w:p>
        </w:tc>
      </w:tr>
      <w:tr xmlns:wp14="http://schemas.microsoft.com/office/word/2010/wordml" w:rsidTr="15570B10" w14:paraId="5687D8EC" wp14:textId="77777777">
        <w:trPr>
          <w:trHeight w:val="1425"/>
        </w:trPr>
        <w:tc>
          <w:tcPr>
            <w:tcW w:w="2880" w:type="dxa"/>
            <w:vMerge/>
            <w:tcMar/>
          </w:tcPr>
          <w:p w14:paraId="5F211763" wp14:textId="77777777">
            <w:r>
              <w:t>S’approprier une démarche de conception</w:t>
            </w:r>
          </w:p>
        </w:tc>
        <w:tc>
          <w:tcPr>
            <w:tcW w:w="3150" w:type="dxa"/>
            <w:tcMar/>
            <w:vAlign w:val="center"/>
          </w:tcPr>
          <w:p w:rsidP="15570B10" w14:paraId="71E889D3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CR.1 –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Opérer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des choix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pertinents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parmi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les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pistes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 recherche</w:t>
            </w:r>
          </w:p>
        </w:tc>
        <w:tc>
          <w:tcPr>
            <w:tcW w:w="3440" w:type="dxa"/>
            <w:tcMar/>
            <w:vAlign w:val="center"/>
          </w:tcPr>
          <w:p w:rsidP="15570B10" w14:paraId="737AD3EA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Faire des choix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adaptés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aux intentions narratives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immersives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(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parcours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, sensations, interactions).</w:t>
            </w:r>
          </w:p>
        </w:tc>
      </w:tr>
      <w:tr xmlns:wp14="http://schemas.microsoft.com/office/word/2010/wordml" w:rsidTr="15570B10" w14:paraId="623C36EE" wp14:textId="77777777">
        <w:trPr>
          <w:trHeight w:val="1410"/>
        </w:trPr>
        <w:tc>
          <w:tcPr>
            <w:tcW w:w="2880" w:type="dxa"/>
            <w:vMerge w:val="restart"/>
            <w:tcMar/>
            <w:vAlign w:val="center"/>
          </w:tcPr>
          <w:p w:rsidP="15570B10" w14:paraId="25B5DE22" wp14:textId="77777777" wp14:noSpellErr="1">
            <w:pPr>
              <w:jc w:val="center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Communiquer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son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analyse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ou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ses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intentions</w:t>
            </w:r>
          </w:p>
        </w:tc>
        <w:tc>
          <w:tcPr>
            <w:tcW w:w="3150" w:type="dxa"/>
            <w:tcMar/>
            <w:vAlign w:val="center"/>
          </w:tcPr>
          <w:p w:rsidP="15570B10" w14:paraId="29F544D8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CC.4 –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Traduire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graphiquement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des intentions</w:t>
            </w:r>
          </w:p>
        </w:tc>
        <w:tc>
          <w:tcPr>
            <w:tcW w:w="3440" w:type="dxa"/>
            <w:tcMar/>
            <w:vAlign w:val="center"/>
          </w:tcPr>
          <w:p w:rsidP="15570B10" w14:paraId="1B09E84E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Réaliser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un plan de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l’espace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scénographique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intégrant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circulation, ambiances,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éléments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sensoriels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.</w:t>
            </w:r>
          </w:p>
        </w:tc>
      </w:tr>
      <w:tr xmlns:wp14="http://schemas.microsoft.com/office/word/2010/wordml" w:rsidTr="15570B10" w14:paraId="7259DE05" wp14:textId="77777777">
        <w:trPr>
          <w:trHeight w:val="1380"/>
        </w:trPr>
        <w:tc>
          <w:tcPr>
            <w:tcW w:w="2880" w:type="dxa"/>
            <w:vMerge/>
            <w:tcMar/>
          </w:tcPr>
          <w:p w14:paraId="0B1BB14A" wp14:textId="77777777">
            <w:r>
              <w:t>Communiquer son analyse ou ses intentions</w:t>
            </w:r>
          </w:p>
        </w:tc>
        <w:tc>
          <w:tcPr>
            <w:tcW w:w="3150" w:type="dxa"/>
            <w:tcMar/>
            <w:vAlign w:val="center"/>
          </w:tcPr>
          <w:p w:rsidP="15570B10" w14:paraId="246FD12E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CC.6 – Structurer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présenter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une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communication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graphique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écrite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et/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ou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orale</w:t>
            </w:r>
          </w:p>
        </w:tc>
        <w:tc>
          <w:tcPr>
            <w:tcW w:w="3440" w:type="dxa"/>
            <w:tcMar/>
            <w:vAlign w:val="center"/>
          </w:tcPr>
          <w:p w:rsidP="15570B10" w14:paraId="4B7022B6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Présenter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les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hypothèses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de narration immersive de façon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claire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argumentée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(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oralement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ou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par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écrit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).</w:t>
            </w:r>
          </w:p>
        </w:tc>
      </w:tr>
      <w:tr xmlns:wp14="http://schemas.microsoft.com/office/word/2010/wordml" w:rsidTr="15570B10" w14:paraId="5689D7B6" wp14:textId="77777777">
        <w:trPr>
          <w:trHeight w:val="1155"/>
        </w:trPr>
        <w:tc>
          <w:tcPr>
            <w:tcW w:w="2880" w:type="dxa"/>
            <w:tcMar/>
            <w:vAlign w:val="center"/>
          </w:tcPr>
          <w:p w:rsidP="15570B10" w14:paraId="77739903" wp14:textId="77777777" wp14:noSpellErr="1">
            <w:pPr>
              <w:jc w:val="center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Design et culture appliqués au métier</w:t>
            </w:r>
          </w:p>
        </w:tc>
        <w:tc>
          <w:tcPr>
            <w:tcW w:w="3150" w:type="dxa"/>
            <w:tcMar/>
            <w:vAlign w:val="center"/>
          </w:tcPr>
          <w:p w:rsidP="15570B10" w14:paraId="7018306C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Relations entre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caractéristiques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visuelles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techniques</w:t>
            </w:r>
          </w:p>
        </w:tc>
        <w:tc>
          <w:tcPr>
            <w:tcW w:w="3440" w:type="dxa"/>
            <w:tcMar/>
            <w:vAlign w:val="center"/>
          </w:tcPr>
          <w:p w:rsidP="15570B10" w14:paraId="090F8991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Associer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formes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sons,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lumières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matières aux intentions de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mémoire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d’émotion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.</w:t>
            </w:r>
          </w:p>
        </w:tc>
      </w:tr>
      <w:tr xmlns:wp14="http://schemas.microsoft.com/office/word/2010/wordml" w:rsidTr="15570B10" w14:paraId="7D2F1FF1" wp14:textId="77777777">
        <w:trPr>
          <w:trHeight w:val="1635"/>
        </w:trPr>
        <w:tc>
          <w:tcPr>
            <w:tcW w:w="2880" w:type="dxa"/>
            <w:tcMar/>
            <w:vAlign w:val="center"/>
          </w:tcPr>
          <w:p w:rsidP="15570B10" w14:paraId="4C4D4431" wp14:textId="77777777" wp14:noSpellErr="1">
            <w:pPr>
              <w:jc w:val="center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>Ouverture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artistique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,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culturelle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civique</w:t>
            </w:r>
          </w:p>
        </w:tc>
        <w:tc>
          <w:tcPr>
            <w:tcW w:w="3150" w:type="dxa"/>
            <w:tcMar/>
            <w:vAlign w:val="center"/>
          </w:tcPr>
          <w:p w:rsidP="15570B10" w14:paraId="0B03C5F5" wp14:textId="77777777" wp14:noSpellErr="1">
            <w:pPr>
              <w:jc w:val="left"/>
              <w:rPr>
                <w:rFonts w:ascii="Arial" w:hAnsi="Arial" w:eastAsia="Arial" w:cs="Arial"/>
                <w:color w:val="auto"/>
              </w:rPr>
            </w:pPr>
            <w:r w:rsidRPr="15570B10" w:rsidR="15570B10">
              <w:rPr>
                <w:rFonts w:ascii="Arial" w:hAnsi="Arial" w:eastAsia="Arial" w:cs="Arial"/>
                <w:color w:val="auto"/>
              </w:rPr>
              <w:t xml:space="preserve">Lien entre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qualité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artistique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et exigence du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geste</w:t>
            </w:r>
            <w:r w:rsidRPr="15570B10" w:rsidR="15570B10">
              <w:rPr>
                <w:rFonts w:ascii="Arial" w:hAnsi="Arial" w:eastAsia="Arial" w:cs="Arial"/>
                <w:color w:val="auto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</w:rPr>
              <w:t>professionnel</w:t>
            </w:r>
          </w:p>
        </w:tc>
        <w:tc>
          <w:tcPr>
            <w:tcW w:w="3440" w:type="dxa"/>
            <w:tcMar/>
            <w:vAlign w:val="center"/>
          </w:tcPr>
          <w:p w:rsidP="15570B10" w14:paraId="2C58D294" wp14:textId="2F8FF18A">
            <w:pPr>
              <w:jc w:val="left"/>
              <w:rPr>
                <w:rFonts w:ascii="Arial" w:hAnsi="Arial" w:eastAsia="Arial" w:cs="Arial"/>
                <w:color w:val="auto"/>
                <w:lang w:val="fr-FR"/>
              </w:rPr>
            </w:pP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Soigner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 les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détails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, proposer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une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expérience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 sensible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cohérente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 et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immersive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 po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 xml:space="preserve">ur le 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visiteu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r</w:t>
            </w:r>
            <w:r w:rsidRPr="15570B10" w:rsidR="15570B10">
              <w:rPr>
                <w:rFonts w:ascii="Arial" w:hAnsi="Arial" w:eastAsia="Arial" w:cs="Arial"/>
                <w:color w:val="auto"/>
                <w:lang w:val="fr-FR"/>
              </w:rPr>
              <w:t>.</w:t>
            </w:r>
          </w:p>
        </w:tc>
      </w:tr>
    </w:tbl>
    <w:sectPr w:rsidRPr="0006063C" w:rsidR="00FC693F" w:rsidSect="000346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570B10"/>
    <w:rsid w:val="1B864F8A"/>
    <w:rsid w:val="38BB32D4"/>
    <w:rsid w:val="38BB32D4"/>
    <w:rsid w:val="4149DF29"/>
    <w:rsid w:val="638DF89D"/>
    <w:rsid w:val="6686F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5E05AA0-169F-426F-98F8-A5B2D8DB57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2025-04-30T13:00:11.1397933Z</dcterms:modified>
  <category/>
</coreProperties>
</file>